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30 czerwca 2025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Gminy Gniewino</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4 lipca 2025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ustalenia regulaminu wynagradzania nauczycieli zatrudnionych w szkołach, przedszkolach oraz innych formach wychowania przedszkolnego, dla których organem prowadzącym jest Gmina Gniewino</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marca 1990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gminnym (Dz. U. z 2024 r. poz. 1465, poz. 1572, poz. 1907, poz. 1940) oraz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6a,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związku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91d 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stycznia 1982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r. - Karta Nauczyciela (Dz. U. z 2024 r. poz. 986, poz. 1871), </w:t>
      </w:r>
      <w:r>
        <w:rPr>
          <w:rFonts w:ascii="Times New Roman" w:eastAsia="Times New Roman" w:hAnsi="Times New Roman" w:cs="Times New Roman"/>
          <w:b/>
          <w:i w:val="0"/>
          <w:caps w:val="0"/>
          <w:strike w:val="0"/>
          <w:color w:val="000000"/>
          <w:sz w:val="22"/>
          <w:u w:val="none" w:color="000000"/>
          <w:vertAlign w:val="baseline"/>
        </w:rPr>
        <w:t>po uzgodnieniu</w:t>
      </w:r>
      <w:r>
        <w:rPr>
          <w:rFonts w:ascii="Times New Roman" w:eastAsia="Times New Roman" w:hAnsi="Times New Roman" w:cs="Times New Roman"/>
          <w:b w:val="0"/>
          <w:i w:val="0"/>
          <w:caps w:val="0"/>
          <w:strike w:val="0"/>
          <w:color w:val="000000"/>
          <w:sz w:val="22"/>
          <w:u w:val="none" w:color="000000"/>
          <w:vertAlign w:val="baseline"/>
        </w:rPr>
        <w:t xml:space="preserve"> ze związkami zawodowymi zrzeszającymi nauczycieli</w:t>
      </w:r>
    </w:p>
    <w:p w:rsidR="00A77B3E">
      <w:pPr>
        <w:keepNext w:val="0"/>
        <w:keepLines w:val="0"/>
        <w:spacing w:before="120" w:after="120" w:line="240" w:lineRule="auto"/>
        <w:ind w:left="0" w:right="0" w:firstLine="227"/>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Rada Gminy Gniewino </w:t>
      </w:r>
    </w:p>
    <w:p w:rsidR="00A77B3E">
      <w:pPr>
        <w:keepNext w:val="0"/>
        <w:keepLines w:val="0"/>
        <w:spacing w:before="120" w:after="120" w:line="240" w:lineRule="auto"/>
        <w:ind w:left="0" w:right="0" w:firstLine="227"/>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Uchwala się regulamin wynagradzania nauczycieli zatrudnionych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szkołach, przedszkolach oraz innych formach wychowania przedszkolnego, dla których organem prowadzącym jest Gmina Gniewino, zwany dalej regulaminem, który stanowi załącznik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Z dniem wejścia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niniejszej uchwały traci moc uchwała nr XX/163/2020 Rady Gminy Gniewino z dnia 29 października 2020 r w sprawie ustalenia regulaminu wynagradzania nauczycieli szkół, przedszkoli oraz innych form wychowania przedszkolnego, zmieniona uchwałą nr XXXIX/322/2022 Rady Gminy Gniewino z dnia 28 września 2022 r w sprawie zmiany „Regulaminu wynagradzania nauczycieli szkół, przedszkoli oraz innych form wychowania przedszkolnego, dla których organem prowadzącym jest Gmina Gniewino” oraz nr IV/22/2024 Rady Gminy Gniewino z dnia 21 sierpnia 2024 r w sprawie zmiany uchwały nr XX/163/2020 Rady Gminy Gniewino z dnia 29 października 2020 r w sprawie ustalenia regulaminu wynagradzania nauczycieli szkół, przedszkoli oraz innych form wychowania przedszkolnego.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Uchwała 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Pomorskiego.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 dniem 1 września 2025 r.</w:t>
      </w:r>
    </w:p>
    <w:p w:rsidR="00A77B3E">
      <w:pPr>
        <w:keepNext/>
        <w:spacing w:before="120" w:after="120" w:line="360" w:lineRule="auto"/>
        <w:ind w:left="568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Gniewino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Regulamin wynagradzania nauczycieli zatrudnionych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szkołach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przedszkolach oraz innych formach wychowania przedszkolnego, dla których organem prowadzącym jest Gmina Gniewino</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Regulamin określa: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wysokość stawek dodatków oraz szczegółowe warunki przyznawania dodatków: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motywacyjnego,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funkcyjnego,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za warunki pracy,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za wysługę lat;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szczegółowe warunki obliczania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wypłacania wynagrodzenia za godziny ponadwymiarowe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godziny doraźnych zastępstw.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Ilekroć bez bliższego określenia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uchwale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jednostce oświatowej</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szkołę, przedszkole lub inną formę wychowania przedszkolnego prowadzone przez Gminę Gniewino;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ustawie</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ustawę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1982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 Karta Nauczyciela;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rozporządzeniu</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rozporządzenie ministra właściwego do spraw oświaty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minimalnych stawek wynagrodzenia zasadniczego nauczycieli, ogólnych warunków przyznawania dodatków do wynagrodzenia zasadniczego oraz wynagrodzenia za pracę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dniu wolnym od pracy,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Wójcie</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Wójta Gminy Gniewino;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dyrektorze</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nauczyciela zatrudnionego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jednostce oświatowej, któremu powierzono stanowisko dyrektora tej jednostki oświatowej;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i w:val="0"/>
          <w:caps w:val="0"/>
          <w:strike w:val="0"/>
          <w:color w:val="000000"/>
          <w:sz w:val="22"/>
          <w:u w:val="none" w:color="000000"/>
          <w:vertAlign w:val="baseline"/>
        </w:rPr>
        <w:t xml:space="preserve">nauczycielu </w:t>
      </w:r>
      <w:r>
        <w:rPr>
          <w:rFonts w:ascii="Times New Roman" w:eastAsia="Times New Roman" w:hAnsi="Times New Roman" w:cs="Times New Roman"/>
          <w:b w:val="0"/>
          <w:i w:val="0"/>
          <w:caps w:val="0"/>
          <w:strike w:val="0"/>
          <w:color w:val="000000"/>
          <w:sz w:val="22"/>
          <w:u w:val="none" w:color="000000"/>
          <w:vertAlign w:val="baseline"/>
        </w:rPr>
        <w:t>– należy przez to rozumieć zatrudnionego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jednostce oświatowej nauczyciela, wychowawcę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innego pracownika pedagogicznego,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nauczyciela, któremu powierzono stanowisko dyrektora, wicedyrektora tej jednostki oświatowej.</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Dodatek motywacyjny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Wysokość środków przeznaczonych na dodatek motywacyjny będzie ustalana corocznie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budżetach poszczególnych szkół,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sumy wynagrodzeń zasadniczych wszystkich zatrudnionych nauczycieli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danej szkole.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Dodatek motywacyjny przysługuje nauczycielom, stosownie do stopnia spełnienia kryteriów,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niniejszego regulaminu.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Dodatek motywacyjny przyznaje się na czas określony,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dłuższy niż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do 30% otrzymanego wynagrodzenia zasadniczego.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Dodatek motywacyjny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stanowi obligatoryjnego składnika wynagrodzenia nauczyciela.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Warunkiem przyznania dodatku motywacyjnego jest spełnienie,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poprzedzającym okres na jaki zostaje przyznany dodatek motywacyjny, co najmniej jednego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poniższych kryteriów: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osiągnięcia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realizowanym procesie dydaktycznym: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uzyskiwanie przez uczniów sukcesów edukacyjnych,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olimpiadach, konkursach, zawodach sportowych itp.,</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trafne diagnozowanie specjalnych potrzeb rozwojowych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edukacyjnych uczniów, dobór właściwych metod nauczania, form pracy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środków dydaktycznych,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udzielanie skutecznej pomocy psychologiczno-pedagogicznej skutkującej poprawą funkcjonowania ucznia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środowisku szkolnym,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prowadzenie zajęć pozalekcyjnych wspomagających wszechstronny rozwój uczniów lub rozwijających uzdolnienia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zainteresowania,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wzbogacanie rozwoju uczniów poprzez mobilizowanie ich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projektach edukacyjnych, sportowych, artystycznych, ekologicznych, społecznych –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zasięgu lokalnym, powiatowym, wojewódzkim, ogólnopolskim, międzynarodowym;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osiągnięcia wychowawczo-opiekuńcze: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umiejętne rozpoznawanie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rozwiązywanie we współpracy ze środowiskiem wychowawczym, problemów wychowawczych uczniów,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aktywne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efektywne działanie – we współpracy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instytucjami – na rzecz uczniów wymagających szczególnych działań opiekuńczo-wychowawczych,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podejmowanie działań wpływających na ograniczenie zachowań ryzykownych uczniów oraz animacja środowiska szkolnego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lokalnego do działań profilaktycznych,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aranżowanie sytuacji wychowawczych wpływających na rozwój osobowości uczniów oraz kształtujących postawy odpowiedzialności za własną edukację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przyszłość,</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inicjowanie działań kształtujących właściwe postawy etyczno-moralne uczniów,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aktywność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agresji, patologiom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uzależnieniom,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aktywny udział,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uczniami,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lokalnych, wojewódzkich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ogólnopolskich projektach wychowawczych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profilaktycznych;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wprowadzanie innowacji pedagogicznych, skutkujących efektami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procesie kształcenia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opracowanie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wdrożenie autorskiego programu działań edukacyjnych, wychowawczych lub opiekuńczych,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opracowanie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realizacja projektu (konkursu, konferencji, przeglądu, festiwalu, sympozjum) poszerzającego działania jednostki oświatowej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zadań dydaktycznych, wychowawczych lub opiekuńczych,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adaptacja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stosowanie nowatorskich metod nauczania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form pracy dydaktycznej podnoszących efektywność kształcenia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adaptacja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realizacja regionalnych lub ogólnopolskich programów edukacyjnych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wychowawczych wspierających wszechstronny rozwój ucznia;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zaangażowanie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realizację czynności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zajęć,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efektywne kierowanie rozwojem ucznia we wszystkich sferach jego aktywności,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aktywny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twórczy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imprez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uroczystości szkolnych,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opieka nad samorządem uczniowskim lub innymi organizacjami uczniowskimi działającymi na terenie jednostki oświatowej,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prowadzenie lekcji otwartych, aktywny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twórczy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zespołów przedmiotowych, sieciach współpracy nauczycieli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wewnątrzszkolnym systemie doskonalenia zawodowego,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aktywny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innych zadań statutowych jednostki oświatowej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współpraca ze statutowymi organami jednostki oświatowej;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szczególnie efektywne wypełnianie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obowiązków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powierzonym stanowiskiem: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stałe doskonalenie własnego warsztatu pracy,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rzetelne, terminowe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wywiązywanie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przydzielonych obowiązków,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wzorowe prowadzenie dokumentacji,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szczególna dbałość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estetykę pomieszczeń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mienie jednostki oświatowej,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prowadzenie efektywnej współpracy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 organizacjami, instytucjami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innymi ośrodkami wspierającymi oświatę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realizacji zadań statutowych jednostki oświatowej,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wykazywanie inicjatywy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pozyskiwania środków pozabudżetowych na cele działalności jednostki oświatowej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podejmowanie działań zmierzających do wzbogacenia majątku szkolnego, bazy szkolnej,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realizacja projektów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oparciu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granty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środki zewnętrzne,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racjonalne gospodarowanie środkami finansowymi szkoły;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realizowanie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szkole zadań edukacyjnych,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przyjętych przez organ prowadzący priorytetów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realizowanej lokalnej polityce oświatowej: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podejmowanie działań sprzyjających kształtowaniu u</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uczniów postaw prospołecznych, obywatelskich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patriotycznych,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inicjowanie działań propagujących wśród młodzieży wiedzę na temat roli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zadań samorządu lokalnego oraz idee samorządności,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wskazywanie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promowanie działań oraz postaw proekologicznych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prozdrowotnych,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realizowanie przedsięwzięć wspomagających wychowanie do wartości, jakimi są, m.in.: szacunek dla drugiego człowieka, godność osoby ludzkiej, właściwe rozumienie wolności, uczciwość, przyzwoitość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odpowiedzialność,</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kształtowanie aktywnej postawy przeciwdziałania patologiom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zagrożeniom społecznym,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stymulowanie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aktywności uczniów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wolontariatu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charytatywnej,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udzielanie pomocy uczniom przybyłym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zagranicy,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adaptacji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nowym środowisku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wspieranie ich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procesie edukacyjnym.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Wysokość dodatku motywacyjnego ustala: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dla dyrektora – wójt;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dla nauczyciela niebędącego dyrektorem – dyrektor.</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Dodatek funkcyjny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Dodatek funkcyjny przysługuje nauczycielom wymienionym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rozporządzenia.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Wysokość dodatku funkcyjnego ustala, uwzględniając wielkość szkoły, jej strukturę organizacyjną, liczbę stanowisk kierowniczych oraz złożoność zadań realizowanych na zajmowanym stanowisku oraz związanych ze sprawowaniem określonej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dla dyrektora – wójt;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dla nauczyciela niebędącego dyrektorem – dyrektor.</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Wysokość stawek dodatku funkcyjnego, stosownie do zajmowanego stanowiska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sprawowanej funkcji, określa poniższa tabela: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6"/>
        <w:gridCol w:w="3763"/>
        <w:gridCol w:w="5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7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Lp.</w:t>
            </w:r>
          </w:p>
        </w:tc>
        <w:tc>
          <w:tcPr>
            <w:tcW w:w="392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Stanowisko/funkcja</w:t>
            </w:r>
          </w:p>
        </w:tc>
        <w:tc>
          <w:tcPr>
            <w:tcW w:w="5850"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Wysokość dodatku</w:t>
            </w:r>
          </w:p>
        </w:tc>
      </w:tr>
      <w:tr>
        <w:tblPrEx>
          <w:tblW w:w="5000" w:type="pct"/>
          <w:tblLayout w:type="fixed"/>
          <w:tblCellMar>
            <w:left w:w="108" w:type="dxa"/>
            <w:right w:w="108" w:type="dxa"/>
          </w:tblCellMar>
        </w:tblPrEx>
        <w:trPr>
          <w:trHeight w:hRule="auto" w:val="0"/>
        </w:trPr>
        <w:tc>
          <w:tcPr>
            <w:tcW w:w="7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w:t>
            </w:r>
          </w:p>
        </w:tc>
        <w:tc>
          <w:tcPr>
            <w:tcW w:w="392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Dyrektor szkoły</w:t>
            </w:r>
          </w:p>
        </w:tc>
        <w:tc>
          <w:tcPr>
            <w:tcW w:w="5850"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 xml:space="preserve">20-60 % kwoty bazowej dla nauczycieli </w:t>
            </w:r>
          </w:p>
        </w:tc>
      </w:tr>
      <w:tr>
        <w:tblPrEx>
          <w:tblW w:w="5000" w:type="pct"/>
          <w:tblLayout w:type="fixed"/>
          <w:tblCellMar>
            <w:left w:w="108" w:type="dxa"/>
            <w:right w:w="108" w:type="dxa"/>
          </w:tblCellMar>
        </w:tblPrEx>
        <w:trPr>
          <w:trHeight w:val="384"/>
        </w:trPr>
        <w:tc>
          <w:tcPr>
            <w:tcW w:w="7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w:t>
            </w:r>
          </w:p>
        </w:tc>
        <w:tc>
          <w:tcPr>
            <w:tcW w:w="392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Wicedyrektor szkoły</w:t>
            </w:r>
          </w:p>
        </w:tc>
        <w:tc>
          <w:tcPr>
            <w:tcW w:w="5850"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20-50 % kwoty bazowej dla nauczycieli</w:t>
            </w:r>
          </w:p>
        </w:tc>
      </w:tr>
      <w:tr>
        <w:tblPrEx>
          <w:tblW w:w="5000" w:type="pct"/>
          <w:tblLayout w:type="fixed"/>
          <w:tblCellMar>
            <w:left w:w="108" w:type="dxa"/>
            <w:right w:w="108" w:type="dxa"/>
          </w:tblCellMar>
        </w:tblPrEx>
        <w:trPr>
          <w:trHeight w:hRule="auto" w:val="0"/>
        </w:trPr>
        <w:tc>
          <w:tcPr>
            <w:tcW w:w="7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w:t>
            </w:r>
          </w:p>
        </w:tc>
        <w:tc>
          <w:tcPr>
            <w:tcW w:w="392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Mentor/Opiekun stażu</w:t>
            </w:r>
          </w:p>
        </w:tc>
        <w:tc>
          <w:tcPr>
            <w:tcW w:w="5850"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3% kwoty bazowej dla nauczycieli</w:t>
            </w:r>
          </w:p>
        </w:tc>
      </w:tr>
      <w:tr>
        <w:tblPrEx>
          <w:tblW w:w="5000" w:type="pct"/>
          <w:tblLayout w:type="fixed"/>
          <w:tblCellMar>
            <w:left w:w="108" w:type="dxa"/>
            <w:right w:w="108" w:type="dxa"/>
          </w:tblCellMar>
        </w:tblPrEx>
        <w:trPr>
          <w:trHeight w:hRule="auto" w:val="0"/>
        </w:trPr>
        <w:tc>
          <w:tcPr>
            <w:tcW w:w="7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w:t>
            </w:r>
          </w:p>
        </w:tc>
        <w:tc>
          <w:tcPr>
            <w:tcW w:w="392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t xml:space="preserve">Wychowawca klasy </w:t>
            </w:r>
          </w:p>
        </w:tc>
        <w:tc>
          <w:tcPr>
            <w:tcW w:w="5850"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6 % kwoty bazowej dla nauczycieli</w:t>
            </w:r>
          </w:p>
        </w:tc>
      </w:tr>
      <w:tr>
        <w:tblPrEx>
          <w:tblW w:w="5000" w:type="pct"/>
          <w:tblLayout w:type="fixed"/>
          <w:tblCellMar>
            <w:left w:w="108" w:type="dxa"/>
            <w:right w:w="108" w:type="dxa"/>
          </w:tblCellMar>
        </w:tblPrEx>
        <w:trPr>
          <w:trHeight w:hRule="auto" w:val="0"/>
        </w:trPr>
        <w:tc>
          <w:tcPr>
            <w:tcW w:w="7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5</w:t>
            </w:r>
          </w:p>
        </w:tc>
        <w:tc>
          <w:tcPr>
            <w:tcW w:w="392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Nauczyciel opiekujący się oddziałem przedszkolnym</w:t>
            </w:r>
          </w:p>
        </w:tc>
        <w:tc>
          <w:tcPr>
            <w:tcW w:w="5850"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6 % kwoty bazowej dla nauczycieli</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Dodatek funkcyjny ustala się na czas określony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dłuższy niż jeden rok szkolny.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wyliczenia dodatków przyjmuje się kwotę bazową obowiązującą na dzień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danego roku szkolnego.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Dodatek funkcyjny przysługuje nauczycielowi za zajmowanie stanowiska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sprawowanie każdej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tych funkcji oddzielnie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niezależnie od siebie.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Dodatek funkcyjny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ustalonej dla dyrektora jest wypłacany wicedyrektorowi za czas wykonywania obowiązków dyrektora od pierwszego dnia miesiąca kalendarzowego następującego po nieobecności dyrektora.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Prawo do dodatku funkcyjnego przysługuje od pierwszego dnia miesiąca następującego po miesiącu,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nastąpiło powierzenie stanowiska kierowniczego oraz sprawowanie funkcji,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jeżeli powierzenie stanowiska lub sprawowanie funkcji nastąpiło pierwszego dnia miesiąca, dodatek przysługuje od tego dnia.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Dodatek funkcyjny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przysługuje od pierwszego dnia miesiąca następującego po miesiącu,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nauczyciel zaprzestał pełnienia obowiązków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powierzonym stanowiskiem kierowniczym lub sprawowaniem funkcji,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jeżeli zaprzestanie pełnienia obowiązków nastąpiło pierwszego dnia miesiąca – od tego dnia.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Dodatek za warunki pracy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b w:val="0"/>
          <w:i w:val="0"/>
          <w:caps w:val="0"/>
          <w:strike w:val="0"/>
          <w:color w:val="000000"/>
          <w:sz w:val="22"/>
          <w:u w:val="none" w:color="000000"/>
          <w:vertAlign w:val="baseline"/>
        </w:rPr>
        <w:t>Nauczycielowi przysługuje dodatek za warunki pracy,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 rozporządzenia,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20% otrzymywanego przez nauczyciela wynagrodzenia zasadniczego za pracę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trudnych warunkach pracy;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15% otrzymywanego przez nauczyciela wynagrodzenia zasadniczego za pracę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uciążliwych warunkach pracy.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Dodatek za warunki pracy przysługuje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wykonywania 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którą dodatek jest związany,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niewykonywania pracy, za który przysługuje wynagrodzenie liczone jak za okres urlopu wypoczynkowego.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Dodatek za warunki pracy wypłaca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całości, jeżeli nauczyciel realizuje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trudnych lub uciążliwych cały obowiązujący go wymiar zajęć. Dodatek wypłaca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proporcjonalnej, jeżeli nauczyciel realizuje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trudnych lub uciążliwych tylko część obowiązującego wymiaru zajęć lub jeżeli jest zatrudniony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niepełnym wymiarze zajęć.</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Wysokość dodatku za warunki pracy ustala: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dla dyrektora – wójt;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dla nauczyciela niebędącego dyrektorem – dyrektor.</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Dodatek za wysługę lat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Nauczycielowi przysługuje dodatek za wysługę lat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określonej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Karty Nauczyciela oraz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Rozporządzenia Ministra Edukacji Narodowej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Sportu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2005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wysokości minimalnych stawek wynagrodzenia zasadniczego nauczycieli, ogólnych warunków przyznawania dodatków do wynagrodzenia zasadniczego oraz wynagrodzenia za pracę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dniu wolnym od pracy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Potwierdzenia nabycia prawa do dodatku za wysługę lat oraz ustalenia wysokości tego dodatku dokonuje: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dla dyrektora – wójt;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dla nauczyciela niebędącego dyrektorem – dyrektor.</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Wynagrodzenie za godziny ponadwymiarowe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godziny doraźnych zastępstw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Wynagrodzenie za jedną godzinę ponadwymiarową,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doraźnego zastępstwa,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2a ustawy, oblicza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zastrzeżeniem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dzieląc przyznaną nauczycielowi stawkę wynagrodzenia zasadniczego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dodatku za warunki pracy (jeżeli praca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godzinie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trudnych lub uciążliwych) przez miesięczną liczbę godzin tygodniowego obowiązkowego wymiaru zajęć, ustalonego dla rodzaju zajęć dydaktycznych, wychowawczych lub opiekuńczych, realizowanych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godzin ponadwymiarowych lub doraźnego zastępstwa nauczyciela.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Dla nauczyciela realizującego tygodniowy obowiązkowy wymiar zajęć na podstawie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42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4a ustawy (wymiar podwyższony) wynagrodzenie za godzinę doraźnego zastępstwa oblicza się dzieląc stawkę wynagrodzenia zasadniczego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dodatku za warunki pracy (jeżeli praca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godzinie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trudnych lub uciążliwych) przez miesięczną liczbę godzin realizowanego wymiaru zajęć.</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Miesięczną liczbę godzin tygodniowego obowiązkowego lub realizowanego wymiaru zajęć nauczyciela,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ustala się mnożąc tygodniowy obowiązkowy lub realizowany wymiar zajęć przez wskaźnik 4,16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zaokrągleniem do pełnych godzin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ten sposób, że czas zajęć do 0,5 godziny pomija się,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co najmniej 0,5 godziny liczy się za pełną godzinę.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 ustalenia wynagrodzenia za godziny ponadwymiarowe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tygodniach,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przypadają dni usprawiedliwionej nieobecności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pracy nauczyciela lub dni ustawowo wolne od pracy,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tygodniach,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zajęcia rozpoczynają się lub kończą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środku tygodnia, za podstawę ustalenia liczby godzin ponadwymiarowych przyjmuje się obowiązkowy tygodniowy wymiar zajęć określony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lub ustalony na podstawie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pomniejszony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tego wymiaru (lub 1/4, gdy dla nauczyciela ustalono czterodniowy tydzień pracy) za każdy dzień usprawiedliwionej nieobecności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pracy lub dzień ustawowo wolny od pracy. Liczba godzin ponadwymiarowych, za które przysługuje wynagrodzenie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takim tygodniu,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większa niż liczba godzin przydzielonych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planie organizacyjnym.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Dla nauczyciela łączącego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jednego etatu zajęcia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różnym pensum, do wyliczenia wynagrodzenia za zrealizowane godziny doraźnych zastępstw, stosuje się zasady ustalone jak dla godzin ponadwymiarowych.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Wynagrodzenie za godziny ponadwymiarowe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godziny doraźnych zastępstw wypłaca się na podstawie ewidencji zrealizowanych godzin ponadwymiarowych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 doraźnych zastępstw, prowadzonej przez dyrektora.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Wynagrodzenie za godziny zastępstw doraźnych płacone są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tygodniowej liczby godzin obowiązkowego wymiaru zajęć dla danego rodzaju zajęć dydaktycznych, wychowawczych lub opiekuńczych.</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11. </w:t>
      </w:r>
      <w:r>
        <w:rPr>
          <w:rFonts w:ascii="Times New Roman" w:eastAsia="Times New Roman" w:hAnsi="Times New Roman" w:cs="Times New Roman"/>
          <w:b w:val="0"/>
          <w:i w:val="0"/>
          <w:caps w:val="0"/>
          <w:strike w:val="0"/>
          <w:color w:val="000000"/>
          <w:sz w:val="22"/>
          <w:u w:val="none" w:color="000000"/>
          <w:vertAlign w:val="baseline"/>
        </w:rPr>
        <w:t>Niniejszy regulamin został uzgodniony ze związkami zawodowymi zrzeszającymi nauczycieli.</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Zgodnie z art. 30 ust. 6 ustawy z dnia 26 stycznia 1982 r. Karta Nauczyciela organ prowadzący określa dla nauczycieli poszczególnych stopni awansu zawodowego zatrudnionych w prowadzonych przez Gminę Gniewino szkołach, przedszkolach oraz innych formach wychowania przedszkolnego, w drodze regulaminu:</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1)wysokość stawek dodatków, o których mowa w ust. 1 pkt  2, oraz szczegółowe warunki przyznawania tych dodatków,</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2)szczegółowe warunki obliczania i wypłacania wynagrodzenia za godziny ponadwymiarowe i godziny doraźnych zastępstw,</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3)wysokość i warunki wypłacania składników wynagrodzenia, o ile nie zostały one określone w ustawie lub w odrębnych przepisach w taki sposób, aby średnie wynagrodzenia nauczycieli, składające się ze składników, o których mowa w ust. 1, odpowiadały na obszarze działania danej jednostki samorządu terytorialnego, co najmniej średnim wynagrodzeniom nauczycieli, o których mowa w ust. 3.</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Uwzględniając powyższy stan prawny, w świetle stanowiska judykatury oraz stanowiska organów nadzoru prawnego, zasadnym jest wprowadzenie do porządku prawnego uchwały, która wpisuje w najnowszą linię orzeczniczą w zakresie określania szczegółowych warunków przyznawania dodatków do wynagrodzenia zasadniczego nauczycieli oraz określania warunków obliczania</w:t>
        <w:br/>
        <w:t>i wypłacania wynagrodzenia za godziny ponadwymiarowe i godziny doraźnych zastępstw. Koniecznym wydaje się także, aby zmodyfikować przepisy dotyczące dodatku motywacyjnego, co powinno pozytywnie wpłynąć na proces ich przyznawania. Ujednolicono także kryteria przyznawania tego dodatku, bez różnicowania kryteriów dla dyrektorów i osobno dla nauczycieli. Podjęcie uchwały ma także znaczenie praktyczne, albowiem aktualnie obowiązująca uchwała była już zmieniana.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Projekt uchwały został uzgodniony ze związkami zawodowymi zrzeszającymi nauczycieli, tj. Związkiem Nauczycielstwa Polskiego – Oddział w Wejherowie i Komisją Międzyzakładową Pracowników Oświaty i Wychowania NSZZ „Solidarność” w Wejherowie .</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Wobec powyższego podjęcie uchwały w przedstawionym brzmieniu jest uzasadnione.</w:t>
      </w:r>
    </w:p>
    <w:sectPr>
      <w:footerReference w:type="default" r:id="rId6"/>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D11F3DFC-BD2E-478C-90C0-925AF1CD1926. Projekt</w:t>
          </w:r>
        </w:p>
      </w:tc>
      <w:tc>
        <w:tcPr>
          <w:tcW w:w="3289" w:type="dxa"/>
          <w:tcBorders>
            <w:top w:val="single" w:sz="4"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D11F3DFC-BD2E-478C-90C0-925AF1CD1926. Projekt</w:t>
          </w:r>
        </w:p>
      </w:tc>
      <w:tc>
        <w:tcPr>
          <w:tcW w:w="3289" w:type="dxa"/>
          <w:tcBorders>
            <w:top w:val="single" w:sz="4"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D11F3DFC-BD2E-478C-90C0-925AF1CD1926. Projekt</w:t>
          </w:r>
        </w:p>
      </w:tc>
      <w:tc>
        <w:tcPr>
          <w:tcW w:w="3289" w:type="dxa"/>
          <w:tcBorders>
            <w:top w:val="single" w:sz="4"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Gniewino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4 lipca 2025 r.</dc:title>
  <dc:subject>w sprawie ustalenia regulaminu wynagradzania nauczycieli zatrudnionych w^szkołach, przedszkolach oraz innych formach wychowania przedszkolnego, dla których organem prowadzącym jest Gmina Gniewino</dc:subject>
  <dc:creator>user</dc:creator>
  <cp:lastModifiedBy>user</cp:lastModifiedBy>
  <cp:revision>1</cp:revision>
  <dcterms:created xsi:type="dcterms:W3CDTF">2025-06-30T14:29:40Z</dcterms:created>
  <dcterms:modified xsi:type="dcterms:W3CDTF">2025-06-30T14:29:40Z</dcterms:modified>
  <cp:category>Akt prawny</cp:category>
</cp:coreProperties>
</file>