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4.0 -->
  <w:body>
    <w:p w:rsidR="00A77B3E">
      <w:pPr>
        <w:spacing w:before="0" w:after="0"/>
        <w:ind w:left="5669" w:right="0"/>
        <w:jc w:val="left"/>
        <w:rPr>
          <w:rFonts w:ascii="Times New Roman" w:eastAsia="Times New Roman" w:hAnsi="Times New Roman" w:cs="Times New Roman"/>
          <w:b/>
          <w:i/>
          <w:sz w:val="20"/>
          <w:u w:val="thick"/>
        </w:rPr>
      </w:pPr>
      <w:r>
        <w:rPr>
          <w:rFonts w:ascii="Times New Roman" w:eastAsia="Times New Roman" w:hAnsi="Times New Roman" w:cs="Times New Roman"/>
          <w:b/>
          <w:i/>
          <w:sz w:val="20"/>
          <w:u w:val="thick"/>
        </w:rPr>
        <w:t>Projekt</w:t>
      </w:r>
    </w:p>
    <w:p w:rsidR="00A77B3E">
      <w:pPr>
        <w:spacing w:before="0" w:after="0"/>
        <w:ind w:left="5669" w:right="0"/>
        <w:jc w:val="left"/>
        <w:rPr>
          <w:rFonts w:ascii="Times New Roman" w:eastAsia="Times New Roman" w:hAnsi="Times New Roman" w:cs="Times New Roman"/>
          <w:b/>
          <w:i/>
          <w:sz w:val="20"/>
          <w:u w:val="thick"/>
        </w:rPr>
      </w:pPr>
    </w:p>
    <w:p w:rsidR="00A77B3E">
      <w:pPr>
        <w:spacing w:before="0" w:after="0"/>
        <w:ind w:left="5669" w:right="0"/>
        <w:jc w:val="left"/>
        <w:rPr>
          <w:rFonts w:ascii="Times New Roman" w:eastAsia="Times New Roman" w:hAnsi="Times New Roman" w:cs="Times New Roman"/>
          <w:b w:val="0"/>
          <w:i w:val="0"/>
          <w:sz w:val="20"/>
          <w:u w:val="none"/>
        </w:rPr>
      </w:pPr>
      <w:r>
        <w:rPr>
          <w:rFonts w:ascii="Times New Roman" w:eastAsia="Times New Roman" w:hAnsi="Times New Roman" w:cs="Times New Roman"/>
          <w:b w:val="0"/>
          <w:i w:val="0"/>
          <w:sz w:val="20"/>
          <w:u w:val="none"/>
        </w:rPr>
        <w:t>z dnia  30 czerwca 2025 r.</w:t>
      </w:r>
    </w:p>
    <w:p w:rsidR="00A77B3E">
      <w:pPr>
        <w:spacing w:before="0" w:after="0"/>
        <w:ind w:left="5669" w:right="0"/>
        <w:jc w:val="left"/>
        <w:rPr>
          <w:rFonts w:ascii="Times New Roman" w:eastAsia="Times New Roman" w:hAnsi="Times New Roman" w:cs="Times New Roman"/>
          <w:b w:val="0"/>
          <w:i w:val="0"/>
          <w:sz w:val="20"/>
          <w:u w:val="none"/>
        </w:rPr>
      </w:pPr>
      <w:r>
        <w:rPr>
          <w:rFonts w:ascii="Times New Roman" w:eastAsia="Times New Roman" w:hAnsi="Times New Roman" w:cs="Times New Roman"/>
          <w:b w:val="0"/>
          <w:i w:val="0"/>
          <w:sz w:val="20"/>
          <w:u w:val="none"/>
        </w:rPr>
        <w:t>Zatwierdzony przez .........................</w:t>
      </w:r>
    </w:p>
    <w:p w:rsidR="00A77B3E">
      <w:pPr>
        <w:spacing w:before="0" w:after="0"/>
        <w:ind w:left="5669" w:right="0"/>
        <w:jc w:val="left"/>
        <w:rPr>
          <w:rFonts w:ascii="Times New Roman" w:eastAsia="Times New Roman" w:hAnsi="Times New Roman" w:cs="Times New Roman"/>
          <w:b w:val="0"/>
          <w:i w:val="0"/>
          <w:sz w:val="20"/>
          <w:u w:val="none"/>
        </w:rPr>
      </w:pPr>
    </w:p>
    <w:p w:rsidR="00A77B3E">
      <w:pPr>
        <w:spacing w:before="0" w:after="0"/>
        <w:ind w:left="5669" w:right="0"/>
        <w:jc w:val="left"/>
        <w:rPr>
          <w:rFonts w:ascii="Times New Roman" w:eastAsia="Times New Roman" w:hAnsi="Times New Roman" w:cs="Times New Roman"/>
          <w:b w:val="0"/>
          <w:i w:val="0"/>
          <w:sz w:val="20"/>
          <w:u w:val="none"/>
        </w:rPr>
      </w:pPr>
    </w:p>
    <w:p w:rsidR="00A77B3E">
      <w:pPr>
        <w:spacing w:before="0"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i w:val="0"/>
          <w:caps/>
          <w:sz w:val="22"/>
          <w:u w:val="none"/>
        </w:rPr>
      </w:pPr>
      <w:r>
        <w:rPr>
          <w:rFonts w:ascii="Times New Roman" w:eastAsia="Times New Roman" w:hAnsi="Times New Roman" w:cs="Times New Roman"/>
          <w:b/>
          <w:i w:val="0"/>
          <w:caps/>
          <w:sz w:val="22"/>
          <w:u w:val="none"/>
        </w:rPr>
        <w:t>Uchwała</w:t>
      </w:r>
      <w:r>
        <w:rPr>
          <w:rFonts w:ascii="Times New Roman" w:eastAsia="Times New Roman" w:hAnsi="Times New Roman" w:cs="Times New Roman"/>
          <w:b/>
          <w:i w:val="0"/>
          <w:caps/>
          <w:sz w:val="22"/>
          <w:u w:val="none"/>
        </w:rPr>
        <w:t xml:space="preserve"> Nr </w:t>
      </w:r>
      <w:r>
        <w:rPr>
          <w:rFonts w:ascii="Times New Roman" w:eastAsia="Times New Roman" w:hAnsi="Times New Roman" w:cs="Times New Roman"/>
          <w:b/>
          <w:i w:val="0"/>
          <w:caps/>
          <w:sz w:val="22"/>
          <w:u w:val="none"/>
        </w:rPr>
        <w:t>....................</w:t>
      </w:r>
      <w:r>
        <w:rPr>
          <w:rFonts w:ascii="Times New Roman" w:eastAsia="Times New Roman" w:hAnsi="Times New Roman" w:cs="Times New Roman"/>
          <w:b/>
          <w:i w:val="0"/>
          <w:caps/>
          <w:sz w:val="22"/>
          <w:u w:val="none"/>
        </w:rPr>
        <w:br/>
      </w:r>
      <w:r>
        <w:rPr>
          <w:rFonts w:ascii="Times New Roman" w:eastAsia="Times New Roman" w:hAnsi="Times New Roman" w:cs="Times New Roman"/>
          <w:b/>
          <w:i w:val="0"/>
          <w:caps/>
          <w:sz w:val="22"/>
          <w:u w:val="none"/>
        </w:rPr>
        <w:t>Rady Gminy Gniewino</w:t>
      </w:r>
    </w:p>
    <w:p w:rsidR="00A77B3E">
      <w:pPr>
        <w:spacing w:before="280" w:after="280" w:line="240" w:lineRule="auto"/>
        <w:ind w:left="0" w:right="0"/>
        <w:jc w:val="center"/>
        <w:rPr>
          <w:rFonts w:ascii="Times New Roman" w:eastAsia="Times New Roman" w:hAnsi="Times New Roman" w:cs="Times New Roman"/>
          <w:b/>
          <w:i w:val="0"/>
          <w:caps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z w:val="22"/>
        </w:rPr>
        <w:t>z dnia .................... 2025 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z w:val="22"/>
          <w:u w:val="none"/>
        </w:rPr>
        <w:t>w sprawie wyrażenia zgody na zawarcie kolejnych umów dzierżawy nieruchomości.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Na podstawie 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lit. „a” ustawy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dnia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marca 1990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samorządzie gminnym (tekst jednolity Dz.U.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2024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r.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1465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późn. zm.</w:t>
      </w:r>
      <w:r>
        <w:rPr>
          <w:rStyle w:val="FootnoteReference"/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0"/>
          <w:u w:val="none" w:color="000000"/>
          <w:vertAlign w:val="superscript"/>
        </w:rPr>
        <w:footnoteReference w:customMarkFollows="1" w:id="2"/>
        <w:t xml:space="preserve">1)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)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związku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ustawy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21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sierpnia 1997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gospodarce nieruchomościami (tekst jednolity Dz.U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2024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1145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późn. zm.</w:t>
      </w:r>
      <w:r>
        <w:rPr>
          <w:rStyle w:val="FootnoteReference"/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0"/>
          <w:u w:val="none" w:color="000000"/>
          <w:vertAlign w:val="superscript"/>
        </w:rPr>
        <w:footnoteReference w:customMarkFollows="1" w:id="3"/>
        <w:t xml:space="preserve">2)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)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Rada Gminy Gniewino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uchwala,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1. </w:t>
      </w:r>
      <w:r>
        <w:rPr>
          <w:rFonts w:ascii="Times New Roman" w:eastAsia="Times New Roman" w:hAnsi="Times New Roman" w:cs="Times New Roman"/>
          <w:sz w:val="22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Wyraża się zgodę na zawarcie na czas nieoznaczony kolejnych umów dzierżawy nieruchomości, stanowiących własność Gminy Gniewino – wymienionych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załączniku do niniejszej Uchwały.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Wyraża się zgodę na odstąpienie od obowiązku przetargowego trybu zawarcia umów,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których 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Wykonanie uchwały powierza się Wójtowi Gminy Gniewino.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5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2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Uchwała niniejsza 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życie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dniem podjęcia.</w:t>
      </w:r>
    </w:p>
    <w:p w:rsidR="00A77B3E">
      <w:pPr>
        <w:spacing w:before="120" w:after="120" w:line="360" w:lineRule="auto"/>
        <w:ind w:left="5076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do uchwały Nr ...............................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Rady Gminy Gniewino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dnia....................2025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Wykaz nieruchomości przeznaczonych do wydzierżawienia: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część działki nr 183/45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obrębie Gniewino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powierzchni 495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(ogródek nr 126), objętej księgą wieczystą GD1W/00046778/5 prowadzoną przez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Wejherowie, IV Wydział Ksiąg Wieczystych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część działki nr 183/45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obrębie Gniewino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powierzchni 588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(ogródek nr 89), objętej księgą wieczystą GD1W/00046778/5 prowadzoną przez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Wejherowie, IV Wydział Ksiąg Wieczystych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część działki nr 119/22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obrębie Tadzino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powierzchni 260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objętej księgą wieczystą GD1W/00026997/0 prowadzoną przez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Wejherowie, IV Wydział Ksiąg Wieczystych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część działki nr 291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obrębie Chynowie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powierzchni 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objętej księgą wieczystą GD1W/00037194/1 prowadzoną przez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Wejherowie, IV Wydział Ksiąg Wieczystych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część działki nr 291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obrębie Chynowie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powierzchni 500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objętej księgą wieczystą GD1W/00037194/1 prowadzoną przez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Wejherowie, IV Wydział Ksiąg Wieczystych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część działki nr 105/11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obrębie Kostkowo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powierzchni 570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objętej księgą wieczystą GD1W/00043893/6 prowadzoną przez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Wejherowie, IV Wydział Ksiąg Wieczystych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6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2"/>
        </w:rPr>
        <w:t>7. 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część działki nr 105/11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obrębie Kostkowo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powierzchni 570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superscript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, objętej księgą wieczystą GD1W/00043893/6 prowadzoną przez Sąd Rejonowy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Wejherowie, IV Wydział Ksiąg Wieczystych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rPr>
          <w:szCs w:val="20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center"/>
        <w:rPr>
          <w:szCs w:val="20"/>
        </w:rPr>
      </w:pPr>
      <w:r>
        <w:rPr>
          <w:b/>
          <w:szCs w:val="20"/>
        </w:rPr>
        <w:t>Uzasadnienie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szCs w:val="20"/>
        </w:rPr>
      </w:pPr>
      <w:r>
        <w:rPr>
          <w:szCs w:val="20"/>
        </w:rPr>
        <w:t>Z wnioskiem o przedłużenie umów dzierżawy nieruchomości gminnych, z przeznaczeniem na cele prowadzenia ogródków oraz z przeznaczeniem na poprawę warunków zagospodarowania nieruchomości przeznaczonych na cele mieszkaniowe - wystąpili do Wójta Gminy Gniewino dotychczasowi dzierżawcy nieruchomości (osoby fizyczne), posiadający umowy do dnia 31 sierpnia 2025 r.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szCs w:val="20"/>
        </w:rPr>
      </w:pPr>
      <w:r>
        <w:rPr>
          <w:szCs w:val="20"/>
        </w:rPr>
        <w:t>Zgodnie z art. 18 ust. 2 pkt 9 lit. a ustawy o samorządzie gminnym – na zawarcie kolejnych umów dzierżawy, gdy przedmiotem jest ta sama nieruchomość – wymagana jest zgoda Rady Gminy. Zgodnie z art. 37 ust. 4 ustawy z dnia 21 sierpnia 1997 r. o gospodarce nieruchomościami – Rada Gminy może wyrazić zgodę na odstąpienie od obowiązku przetargowego trybu zawarcia umowy na czas dłuższy niż 3 lata lub na czas nieoznaczony.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szCs w:val="20"/>
        </w:rPr>
      </w:pPr>
      <w:r>
        <w:drawing>
          <wp:inline>
            <wp:extent cx="6264910" cy="548957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548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szCs w:val="20"/>
        </w:rPr>
      </w:pPr>
      <w:r>
        <w:drawing>
          <wp:inline>
            <wp:extent cx="6264910" cy="566166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566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szCs w:val="20"/>
        </w:rPr>
      </w:pPr>
      <w:r>
        <w:drawing>
          <wp:inline>
            <wp:extent cx="6264910" cy="559943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559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szCs w:val="20"/>
        </w:rPr>
      </w:pPr>
      <w:r>
        <w:drawing>
          <wp:inline>
            <wp:extent cx="6264910" cy="558355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558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120" w:beforeAutospacing="0" w:after="120" w:afterAutospacing="0" w:line="240" w:lineRule="auto"/>
        <w:ind w:left="283" w:right="0" w:firstLine="227"/>
        <w:contextualSpacing w:val="0"/>
        <w:rPr>
          <w:szCs w:val="20"/>
        </w:rPr>
      </w:pPr>
    </w:p>
    <w:sectPr>
      <w:footerReference w:type="default" r:id="rId11"/>
      <w:endnotePr>
        <w:numFmt w:val="decimal"/>
      </w:endnotePr>
      <w:type w:val="nextPage"/>
      <w:pgSz w:w="11906" w:h="16838" w:code="0"/>
      <w:pgMar w:top="992" w:right="1020" w:bottom="992" w:left="10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8F2B9CFB-7241-4750-9CC2-89CCCC9FDA25.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8F2B9CFB-7241-4750-9CC2-89CCCC9FDA25.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8F2B9CFB-7241-4750-9CC2-89CCCC9FDA25.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  <w:footnote w:id="2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Dz.U. z 2024 r. poz. 1572, poz. 1940</w:t>
      </w:r>
    </w:p>
  </w:footnote>
  <w:footnote w:id="3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2)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Dz.U. z 2024 r. poz. 1222, poz, 1717, poz. 1881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footnotePr>
    <w:footnote w:id="0"/>
    <w:footnote w:id="1"/>
  </w:footnotePr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2"/>
      <w:szCs w:val="24"/>
      <w:lang w:val="pl-PL" w:eastAsia="pl-PL" w:bidi="pl-PL"/>
    </w:rPr>
  </w:style>
  <w:style w:type="character" w:default="1" w:styleId="DefaultParagraphFont">
    <w:name w:val="Default Paragraph Font"/>
    <w:semiHidden/>
    <w:rPr>
      <w:lang w:val="pl-PL" w:eastAsia="pl-PL" w:bidi="pl-PL"/>
    </w:rPr>
  </w:style>
  <w:style w:type="table" w:default="1" w:styleId="TableNormal">
    <w:name w:val="Normal Table"/>
    <w:semiHidden/>
    <w:rPr>
      <w:lang w:val="pl-PL" w:eastAsia="pl-PL" w:bidi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basedOn w:val="DefaultParagraphFont"/>
    <w:rsid w:val="00805BCE"/>
    <w:rPr>
      <w:vertAlign w:val="superscript"/>
    </w:rPr>
  </w:style>
  <w:style w:type="paragraph" w:styleId="FootnoteText">
    <w:name w:val="footnote text"/>
    <w:basedOn w:val="Normal"/>
    <w:rsid w:val="00805BC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4.png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Gminy Gniewino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wyrażenia zgody na zawarcie kolejnych umów dzierżawy nieruchomości.</dc:subject>
  <dc:creator>user</dc:creator>
  <cp:lastModifiedBy>user</cp:lastModifiedBy>
  <cp:revision>1</cp:revision>
  <dcterms:created xsi:type="dcterms:W3CDTF">2025-06-30T14:32:16Z</dcterms:created>
  <dcterms:modified xsi:type="dcterms:W3CDTF">2025-06-30T14:32:16Z</dcterms:modified>
  <cp:category>Akt prawny</cp:category>
</cp:coreProperties>
</file>